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E1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highlight w:val="none"/>
          <w:lang w:val="en-US" w:eastAsia="zh-CN"/>
        </w:rPr>
        <w:t>解决滥占南山林地私建坟墓问题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  <w:lang w:val="en-US" w:eastAsia="zh-CN"/>
        </w:rPr>
        <w:t>的建议</w:t>
      </w:r>
    </w:p>
    <w:p w14:paraId="5B7E8D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代表姓名：窦长泉  </w:t>
      </w:r>
    </w:p>
    <w:p w14:paraId="18A844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</w:t>
      </w:r>
    </w:p>
    <w:p w14:paraId="549CAC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城区南山位于河南街道辖区内，南山建有南山公墓及南山公园，通往南山公园柏油路北侧整片山坡原为退耕还林林地，近几年，为解决乱葬建坟现象，我旗投入资金不断完善南山公墓建设，但村民群众私自乱建坟墓，“蚕食”林地的现象时有发生，自南山脚下大广高速穿过，更是能看到山坡上坟地连堆成片的“风景”，现在土葬风俗屡禁不止，散埋乱葬风气依然存在，不仅破坏生态环境，影响风景美观；还浪费土地资源，影响了城市经济发展项目的落地实施；更影响了移风易俗的乡风文明建设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为此，我提出如下建议：</w:t>
      </w:r>
    </w:p>
    <w:p w14:paraId="6566CE17"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旗城管局加大南山私建坟墓的巡查执法力度，对违法违规私建坟墓保持“零容忍”态度，以“杜绝增量、速减存量”为要求，稳妥有效开展整治行动，坚决做到发现一起、查处一起、拆除一起。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进一步加大“绿色殡葬”政策宣传力度，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强化殡葬改革宣传，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开展监督举报，引导群众转变传统殡葬观念，树立文明、绿色、节地的殡葬新风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，从源头上杜绝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滥占土地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新建、扩建坟墓的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现象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发生。</w:t>
      </w:r>
    </w:p>
    <w:p w14:paraId="267E0E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D24B0"/>
    <w:rsid w:val="2FF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2025-02-07T08:03:00Z</dcterms:created>
  <dc:creator>祝家有女</dc:creator>
  <cp:lastModifiedBy>祝家有女</cp:lastModifiedBy>
  <dcterms:modified xsi:type="dcterms:W3CDTF">2025-02-07T08:06:01Z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946AE79A8FA24E52BC99F80987844F84_11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